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D4E" w:rsidRPr="003D5D4E" w:rsidRDefault="003D5D4E" w:rsidP="00CB3160">
      <w:pPr>
        <w:rPr>
          <w:b/>
          <w:sz w:val="20"/>
          <w:szCs w:val="20"/>
        </w:rPr>
      </w:pPr>
      <w:r w:rsidRPr="003D5D4E">
        <w:rPr>
          <w:b/>
          <w:sz w:val="20"/>
          <w:szCs w:val="20"/>
        </w:rPr>
        <w:t>Organizational Statements</w:t>
      </w:r>
    </w:p>
    <w:p w:rsidR="005D261F" w:rsidRPr="0093766E" w:rsidRDefault="005D261F" w:rsidP="005D261F">
      <w:pPr>
        <w:pStyle w:val="ListParagraph"/>
        <w:numPr>
          <w:ilvl w:val="0"/>
          <w:numId w:val="1"/>
        </w:numPr>
        <w:rPr>
          <w:sz w:val="20"/>
          <w:szCs w:val="20"/>
        </w:rPr>
      </w:pPr>
      <w:hyperlink r:id="rId6" w:history="1">
        <w:r w:rsidRPr="00CD42DD">
          <w:rPr>
            <w:rStyle w:val="Hyperlink"/>
            <w:sz w:val="20"/>
            <w:szCs w:val="20"/>
          </w:rPr>
          <w:t>ICCR Sign On Letter</w:t>
        </w:r>
      </w:hyperlink>
      <w:r>
        <w:rPr>
          <w:sz w:val="20"/>
          <w:szCs w:val="20"/>
        </w:rPr>
        <w:t xml:space="preserve"> to the Senate (</w:t>
      </w:r>
      <w:hyperlink r:id="rId7" w:history="1">
        <w:r w:rsidRPr="00CD42DD">
          <w:rPr>
            <w:rStyle w:val="Hyperlink"/>
            <w:sz w:val="20"/>
            <w:szCs w:val="20"/>
          </w:rPr>
          <w:t>sign</w:t>
        </w:r>
        <w:r>
          <w:rPr>
            <w:rStyle w:val="Hyperlink"/>
            <w:sz w:val="20"/>
            <w:szCs w:val="20"/>
          </w:rPr>
          <w:t xml:space="preserve"> on</w:t>
        </w:r>
        <w:r w:rsidRPr="00CD42DD">
          <w:rPr>
            <w:rStyle w:val="Hyperlink"/>
            <w:sz w:val="20"/>
            <w:szCs w:val="20"/>
          </w:rPr>
          <w:t xml:space="preserve"> here</w:t>
        </w:r>
      </w:hyperlink>
      <w:r>
        <w:rPr>
          <w:sz w:val="20"/>
          <w:szCs w:val="20"/>
        </w:rPr>
        <w:t>)</w:t>
      </w:r>
    </w:p>
    <w:p w:rsidR="00ED2D9A" w:rsidRPr="007E3195" w:rsidRDefault="00CB3160" w:rsidP="00CB3160">
      <w:pPr>
        <w:pStyle w:val="ListParagraph"/>
        <w:numPr>
          <w:ilvl w:val="0"/>
          <w:numId w:val="1"/>
        </w:numPr>
        <w:rPr>
          <w:sz w:val="20"/>
          <w:szCs w:val="20"/>
        </w:rPr>
      </w:pPr>
      <w:r w:rsidRPr="007E3195">
        <w:rPr>
          <w:sz w:val="20"/>
          <w:szCs w:val="20"/>
        </w:rPr>
        <w:t xml:space="preserve">As You Sow has put together an action guide: </w:t>
      </w:r>
      <w:hyperlink r:id="rId8" w:history="1">
        <w:r w:rsidRPr="007E3195">
          <w:rPr>
            <w:rStyle w:val="Hyperlink"/>
            <w:sz w:val="20"/>
            <w:szCs w:val="20"/>
          </w:rPr>
          <w:t>http://www.asyousow.org/about-us/choice-act-step-by-step-action-guide/</w:t>
        </w:r>
      </w:hyperlink>
      <w:r w:rsidRPr="007E3195">
        <w:rPr>
          <w:sz w:val="20"/>
          <w:szCs w:val="20"/>
        </w:rPr>
        <w:t xml:space="preserve"> </w:t>
      </w:r>
    </w:p>
    <w:p w:rsidR="00CB3160" w:rsidRPr="007E3195" w:rsidRDefault="00CB3160" w:rsidP="00CB3160">
      <w:pPr>
        <w:pStyle w:val="ListParagraph"/>
        <w:numPr>
          <w:ilvl w:val="0"/>
          <w:numId w:val="1"/>
        </w:numPr>
        <w:rPr>
          <w:sz w:val="20"/>
          <w:szCs w:val="20"/>
        </w:rPr>
      </w:pPr>
      <w:r w:rsidRPr="007E3195">
        <w:rPr>
          <w:sz w:val="20"/>
          <w:szCs w:val="20"/>
        </w:rPr>
        <w:t xml:space="preserve">Indivisible has guides for attending town hall meetings - </w:t>
      </w:r>
      <w:hyperlink r:id="rId9" w:history="1">
        <w:r w:rsidRPr="007E3195">
          <w:rPr>
            <w:rStyle w:val="Hyperlink"/>
            <w:sz w:val="20"/>
            <w:szCs w:val="20"/>
          </w:rPr>
          <w:t>https://www.indivisibleguide.com/</w:t>
        </w:r>
      </w:hyperlink>
    </w:p>
    <w:p w:rsidR="00CB3160" w:rsidRDefault="00906E1F" w:rsidP="00906E1F">
      <w:pPr>
        <w:pStyle w:val="ListParagraph"/>
        <w:numPr>
          <w:ilvl w:val="0"/>
          <w:numId w:val="1"/>
        </w:numPr>
        <w:rPr>
          <w:sz w:val="20"/>
          <w:szCs w:val="20"/>
        </w:rPr>
      </w:pPr>
      <w:r w:rsidRPr="007E3195">
        <w:rPr>
          <w:sz w:val="20"/>
          <w:szCs w:val="20"/>
        </w:rPr>
        <w:t xml:space="preserve">AFL-CIO letter opposing the Financial CHOICE Act </w:t>
      </w:r>
      <w:hyperlink r:id="rId10" w:history="1">
        <w:r w:rsidRPr="007E3195">
          <w:rPr>
            <w:rStyle w:val="Hyperlink"/>
            <w:sz w:val="20"/>
            <w:szCs w:val="20"/>
          </w:rPr>
          <w:t>https://members.iccr.org/document/afl-cio-letter-opposing-financial-choice-act-0</w:t>
        </w:r>
      </w:hyperlink>
      <w:r w:rsidRPr="007E3195">
        <w:rPr>
          <w:sz w:val="20"/>
          <w:szCs w:val="20"/>
        </w:rPr>
        <w:t xml:space="preserve"> </w:t>
      </w:r>
    </w:p>
    <w:p w:rsidR="0093766E" w:rsidRDefault="0093766E" w:rsidP="0093766E">
      <w:pPr>
        <w:pStyle w:val="ListParagraph"/>
        <w:numPr>
          <w:ilvl w:val="0"/>
          <w:numId w:val="1"/>
        </w:numPr>
        <w:rPr>
          <w:sz w:val="20"/>
          <w:szCs w:val="20"/>
        </w:rPr>
      </w:pPr>
      <w:r w:rsidRPr="0093766E">
        <w:rPr>
          <w:sz w:val="20"/>
          <w:szCs w:val="20"/>
        </w:rPr>
        <w:t xml:space="preserve">Council of Institutional Investors </w:t>
      </w:r>
      <w:hyperlink r:id="rId11" w:history="1">
        <w:r w:rsidRPr="0093766E">
          <w:rPr>
            <w:rStyle w:val="Hyperlink"/>
            <w:sz w:val="20"/>
            <w:szCs w:val="20"/>
          </w:rPr>
          <w:t>letter</w:t>
        </w:r>
      </w:hyperlink>
      <w:r w:rsidRPr="0093766E">
        <w:rPr>
          <w:sz w:val="20"/>
          <w:szCs w:val="20"/>
        </w:rPr>
        <w:t xml:space="preserve"> to Speaker Paul Ryan </w:t>
      </w:r>
    </w:p>
    <w:p w:rsidR="00CB3160" w:rsidRPr="007E3195" w:rsidRDefault="00906E1F" w:rsidP="00CB3160">
      <w:pPr>
        <w:rPr>
          <w:b/>
          <w:sz w:val="20"/>
          <w:szCs w:val="20"/>
        </w:rPr>
      </w:pPr>
      <w:r w:rsidRPr="007E3195">
        <w:rPr>
          <w:b/>
          <w:sz w:val="20"/>
          <w:szCs w:val="20"/>
        </w:rPr>
        <w:t>Press</w:t>
      </w:r>
    </w:p>
    <w:p w:rsidR="005D261F" w:rsidRDefault="005D261F" w:rsidP="005D261F">
      <w:pPr>
        <w:pStyle w:val="ListParagraph"/>
        <w:numPr>
          <w:ilvl w:val="0"/>
          <w:numId w:val="2"/>
        </w:numPr>
        <w:rPr>
          <w:sz w:val="20"/>
          <w:szCs w:val="20"/>
        </w:rPr>
      </w:pPr>
      <w:r>
        <w:rPr>
          <w:sz w:val="20"/>
          <w:szCs w:val="20"/>
        </w:rPr>
        <w:t xml:space="preserve">San Francisco Gate - </w:t>
      </w:r>
      <w:hyperlink r:id="rId12" w:history="1">
        <w:r w:rsidRPr="00CD42DD">
          <w:rPr>
            <w:rStyle w:val="Hyperlink"/>
            <w:sz w:val="20"/>
            <w:szCs w:val="20"/>
          </w:rPr>
          <w:t>Looking to propose a shareholder vote? It may get tougher</w:t>
        </w:r>
      </w:hyperlink>
      <w:r>
        <w:rPr>
          <w:sz w:val="20"/>
          <w:szCs w:val="20"/>
        </w:rPr>
        <w:t xml:space="preserve">, </w:t>
      </w:r>
      <w:r w:rsidRPr="00CD42DD">
        <w:rPr>
          <w:sz w:val="20"/>
          <w:szCs w:val="20"/>
        </w:rPr>
        <w:t>Marcy Gordon, Associated Press, Tuesday, June 6, 2017</w:t>
      </w:r>
    </w:p>
    <w:p w:rsidR="00906E1F" w:rsidRPr="007E3195" w:rsidRDefault="00906E1F" w:rsidP="00906E1F">
      <w:pPr>
        <w:pStyle w:val="ListParagraph"/>
        <w:numPr>
          <w:ilvl w:val="0"/>
          <w:numId w:val="2"/>
        </w:numPr>
        <w:rPr>
          <w:sz w:val="20"/>
          <w:szCs w:val="20"/>
        </w:rPr>
      </w:pPr>
      <w:r w:rsidRPr="007E3195">
        <w:rPr>
          <w:sz w:val="20"/>
          <w:szCs w:val="20"/>
        </w:rPr>
        <w:t xml:space="preserve">NPR - </w:t>
      </w:r>
      <w:hyperlink r:id="rId13" w:anchor="stream/0" w:history="1">
        <w:r w:rsidRPr="007E3195">
          <w:rPr>
            <w:rStyle w:val="Hyperlink"/>
            <w:sz w:val="20"/>
            <w:szCs w:val="20"/>
          </w:rPr>
          <w:t>GOP Plan May Signal End Of 'Socially Responsible Investing'</w:t>
        </w:r>
      </w:hyperlink>
      <w:r w:rsidRPr="007E3195">
        <w:rPr>
          <w:sz w:val="20"/>
          <w:szCs w:val="20"/>
        </w:rPr>
        <w:t xml:space="preserve"> featuring Tri-CRI’s Mary Beth Gallagher</w:t>
      </w:r>
    </w:p>
    <w:p w:rsidR="00906E1F" w:rsidRPr="00A6362C" w:rsidRDefault="007E3195" w:rsidP="007E3195">
      <w:pPr>
        <w:pStyle w:val="ListParagraph"/>
        <w:numPr>
          <w:ilvl w:val="0"/>
          <w:numId w:val="2"/>
        </w:numPr>
        <w:rPr>
          <w:b/>
          <w:sz w:val="20"/>
          <w:szCs w:val="20"/>
        </w:rPr>
      </w:pPr>
      <w:r w:rsidRPr="0093766E">
        <w:rPr>
          <w:sz w:val="20"/>
          <w:szCs w:val="20"/>
        </w:rPr>
        <w:t>Investment News</w:t>
      </w:r>
      <w:r w:rsidRPr="007E3195">
        <w:rPr>
          <w:b/>
          <w:sz w:val="20"/>
          <w:szCs w:val="20"/>
        </w:rPr>
        <w:t xml:space="preserve"> </w:t>
      </w:r>
      <w:hyperlink r:id="rId14" w:history="1">
        <w:r w:rsidR="00906E1F" w:rsidRPr="00A6362C">
          <w:rPr>
            <w:rStyle w:val="Hyperlink"/>
            <w:sz w:val="20"/>
            <w:szCs w:val="20"/>
          </w:rPr>
          <w:t>House committee approves Dodd-Frank replacement bill that includes repeal of DOL fiduciary rule</w:t>
        </w:r>
      </w:hyperlink>
    </w:p>
    <w:p w:rsidR="0093766E" w:rsidRPr="00CD42DD" w:rsidRDefault="0093766E" w:rsidP="0093766E">
      <w:pPr>
        <w:pStyle w:val="ListParagraph"/>
        <w:numPr>
          <w:ilvl w:val="0"/>
          <w:numId w:val="2"/>
        </w:numPr>
        <w:rPr>
          <w:rStyle w:val="Hyperlink"/>
          <w:color w:val="auto"/>
          <w:sz w:val="20"/>
          <w:szCs w:val="20"/>
          <w:u w:val="none"/>
        </w:rPr>
      </w:pPr>
      <w:r w:rsidRPr="0093766E">
        <w:rPr>
          <w:sz w:val="20"/>
          <w:szCs w:val="20"/>
        </w:rPr>
        <w:t xml:space="preserve">Wall Street Journal - </w:t>
      </w:r>
      <w:hyperlink r:id="rId15" w:history="1">
        <w:r w:rsidRPr="0093766E">
          <w:rPr>
            <w:rStyle w:val="Hyperlink"/>
            <w:sz w:val="20"/>
            <w:szCs w:val="20"/>
          </w:rPr>
          <w:t>Investor Group, Pension Funds Oppose Financial Choice Act</w:t>
        </w:r>
      </w:hyperlink>
    </w:p>
    <w:p w:rsidR="0093766E" w:rsidRPr="000A1ABE" w:rsidRDefault="0093766E" w:rsidP="0093766E">
      <w:pPr>
        <w:rPr>
          <w:b/>
          <w:sz w:val="20"/>
          <w:szCs w:val="20"/>
        </w:rPr>
      </w:pPr>
      <w:r w:rsidRPr="000A1ABE">
        <w:rPr>
          <w:b/>
          <w:sz w:val="20"/>
          <w:szCs w:val="20"/>
        </w:rPr>
        <w:t>Company Statements</w:t>
      </w:r>
    </w:p>
    <w:p w:rsidR="0093766E" w:rsidRPr="00412795" w:rsidRDefault="0093766E" w:rsidP="0093766E">
      <w:pPr>
        <w:pStyle w:val="ListParagraph"/>
        <w:numPr>
          <w:ilvl w:val="0"/>
          <w:numId w:val="3"/>
        </w:numPr>
        <w:rPr>
          <w:sz w:val="20"/>
          <w:szCs w:val="20"/>
        </w:rPr>
      </w:pPr>
      <w:bookmarkStart w:id="0" w:name="_GoBack"/>
      <w:bookmarkEnd w:id="0"/>
      <w:r w:rsidRPr="00412795">
        <w:rPr>
          <w:color w:val="000000"/>
          <w:sz w:val="20"/>
          <w:szCs w:val="20"/>
        </w:rPr>
        <w:t>“Chevron values engagements with proponents and the stockholder proposal process and shares feedback from engagements with the Board and its relevant committees.” </w:t>
      </w:r>
      <w:hyperlink r:id="rId16" w:history="1">
        <w:r w:rsidRPr="00412795">
          <w:rPr>
            <w:rStyle w:val="Hyperlink"/>
            <w:sz w:val="20"/>
            <w:szCs w:val="20"/>
          </w:rPr>
          <w:t>https://www.chevron.com/corporate-responsibility/our-approach/board-of-directors-governance-and-ethics</w:t>
        </w:r>
      </w:hyperlink>
    </w:p>
    <w:p w:rsidR="000A1ABE" w:rsidRPr="00412795" w:rsidRDefault="000A1ABE" w:rsidP="0093766E">
      <w:pPr>
        <w:pStyle w:val="ListParagraph"/>
        <w:numPr>
          <w:ilvl w:val="0"/>
          <w:numId w:val="3"/>
        </w:numPr>
        <w:rPr>
          <w:sz w:val="20"/>
          <w:szCs w:val="20"/>
        </w:rPr>
      </w:pPr>
      <w:r w:rsidRPr="00412795">
        <w:rPr>
          <w:sz w:val="20"/>
          <w:szCs w:val="20"/>
        </w:rPr>
        <w:t>Exxon Board’s response</w:t>
      </w:r>
      <w:r w:rsidR="00CD42DD" w:rsidRPr="00412795">
        <w:rPr>
          <w:sz w:val="20"/>
          <w:szCs w:val="20"/>
        </w:rPr>
        <w:t xml:space="preserve"> to proposal to not permit resolutions from “n</w:t>
      </w:r>
      <w:r w:rsidR="00CD42DD" w:rsidRPr="00412795">
        <w:rPr>
          <w:bCs/>
          <w:sz w:val="20"/>
          <w:szCs w:val="20"/>
        </w:rPr>
        <w:t xml:space="preserve">uisance </w:t>
      </w:r>
      <w:r w:rsidR="00CD42DD" w:rsidRPr="00412795">
        <w:rPr>
          <w:bCs/>
          <w:sz w:val="20"/>
          <w:szCs w:val="20"/>
        </w:rPr>
        <w:t>s</w:t>
      </w:r>
      <w:r w:rsidR="00CD42DD" w:rsidRPr="00412795">
        <w:rPr>
          <w:bCs/>
          <w:sz w:val="20"/>
          <w:szCs w:val="20"/>
        </w:rPr>
        <w:t>hareholders</w:t>
      </w:r>
      <w:r w:rsidR="00CD42DD" w:rsidRPr="00412795">
        <w:rPr>
          <w:bCs/>
          <w:sz w:val="20"/>
          <w:szCs w:val="20"/>
        </w:rPr>
        <w:t>”</w:t>
      </w:r>
    </w:p>
    <w:p w:rsidR="000A1ABE" w:rsidRPr="00412795" w:rsidRDefault="000A1ABE" w:rsidP="00986301">
      <w:pPr>
        <w:pStyle w:val="ListParagraph"/>
        <w:rPr>
          <w:rFonts w:eastAsia="Times New Roman"/>
          <w:sz w:val="20"/>
          <w:szCs w:val="20"/>
        </w:rPr>
      </w:pPr>
      <w:r w:rsidRPr="00412795">
        <w:rPr>
          <w:rFonts w:eastAsia="Times New Roman"/>
          <w:sz w:val="20"/>
          <w:szCs w:val="20"/>
        </w:rPr>
        <w:t>The Board recommends you vote AGAINST this proposal for the following reasons:</w:t>
      </w:r>
    </w:p>
    <w:p w:rsidR="000A1ABE" w:rsidRPr="00412795" w:rsidRDefault="000A1ABE" w:rsidP="000A1ABE">
      <w:pPr>
        <w:pStyle w:val="ListParagraph"/>
        <w:rPr>
          <w:rFonts w:eastAsia="Times New Roman"/>
          <w:sz w:val="20"/>
          <w:szCs w:val="20"/>
        </w:rPr>
      </w:pPr>
      <w:r w:rsidRPr="00412795">
        <w:rPr>
          <w:rFonts w:eastAsia="Times New Roman"/>
          <w:sz w:val="20"/>
          <w:szCs w:val="20"/>
        </w:rPr>
        <w:t>The Board shares the proponent’s concern regarding certain shareholders perpetuating proposals that offer little or no benefit to corporate governance or to appropriately inform shareholders beyond existing disclosures. However, the recommended proposal could limit the rights of shareholders to submit meaningful proposals that may not be fully supported by the Board, but are of material importance for shareholders to consider.</w:t>
      </w:r>
    </w:p>
    <w:p w:rsidR="000A1ABE" w:rsidRPr="00412795" w:rsidRDefault="000A1ABE" w:rsidP="000A1ABE">
      <w:pPr>
        <w:pStyle w:val="ListParagraph"/>
        <w:rPr>
          <w:rFonts w:eastAsia="Times New Roman"/>
          <w:sz w:val="20"/>
          <w:szCs w:val="20"/>
        </w:rPr>
      </w:pPr>
      <w:r w:rsidRPr="00412795">
        <w:rPr>
          <w:rFonts w:eastAsia="Times New Roman"/>
          <w:sz w:val="20"/>
          <w:szCs w:val="20"/>
        </w:rPr>
        <w:t>While we are sympathetic to the proponent’s objective, the Board believes a better approach would be for shareholders concerned with the current proposal process to petition for appropriate regulatory changes in order to minimize the potential for abuse and to increase the likelihood that proposals better reflect the interests of long-term shareholders.</w:t>
      </w:r>
    </w:p>
    <w:p w:rsidR="000A1ABE" w:rsidRPr="00412795" w:rsidRDefault="000A1ABE" w:rsidP="000A1ABE">
      <w:pPr>
        <w:pStyle w:val="ListParagraph"/>
        <w:rPr>
          <w:rFonts w:eastAsia="Times New Roman"/>
          <w:sz w:val="20"/>
          <w:szCs w:val="20"/>
        </w:rPr>
      </w:pPr>
      <w:r w:rsidRPr="00412795">
        <w:rPr>
          <w:rFonts w:eastAsia="Times New Roman"/>
          <w:sz w:val="20"/>
          <w:szCs w:val="20"/>
        </w:rPr>
        <w:t>The Board also believes direct shareholder engagement is the most effective approach to address shareholder interests. The Company maintains a robust process which allows shareholders to dialog with management and the Board in an open and comprehensive manner. Shareholder input is always valued and, as appropriate, is incorporated into management and Board deliberations.</w:t>
      </w:r>
    </w:p>
    <w:p w:rsidR="000A1ABE" w:rsidRPr="0093766E" w:rsidRDefault="005D261F" w:rsidP="00AE5AE3">
      <w:pPr>
        <w:pStyle w:val="ListParagraph"/>
        <w:rPr>
          <w:sz w:val="20"/>
          <w:szCs w:val="20"/>
        </w:rPr>
      </w:pPr>
      <w:hyperlink r:id="rId17" w:anchor="toc182248_19" w:history="1">
        <w:r w:rsidR="000A1ABE" w:rsidRPr="00412795">
          <w:rPr>
            <w:rStyle w:val="Hyperlink"/>
            <w:sz w:val="20"/>
            <w:szCs w:val="20"/>
          </w:rPr>
          <w:t>https://w</w:t>
        </w:r>
        <w:r w:rsidR="000A1ABE" w:rsidRPr="00412795">
          <w:rPr>
            <w:rStyle w:val="Hyperlink"/>
            <w:sz w:val="20"/>
            <w:szCs w:val="20"/>
          </w:rPr>
          <w:t>w</w:t>
        </w:r>
        <w:r w:rsidR="000A1ABE" w:rsidRPr="00412795">
          <w:rPr>
            <w:rStyle w:val="Hyperlink"/>
            <w:sz w:val="20"/>
            <w:szCs w:val="20"/>
          </w:rPr>
          <w:t>w.sec.gov/</w:t>
        </w:r>
        <w:r w:rsidR="000A1ABE" w:rsidRPr="00412795">
          <w:rPr>
            <w:rStyle w:val="Hyperlink"/>
            <w:sz w:val="20"/>
            <w:szCs w:val="20"/>
          </w:rPr>
          <w:t>A</w:t>
        </w:r>
        <w:r w:rsidR="000A1ABE" w:rsidRPr="00412795">
          <w:rPr>
            <w:rStyle w:val="Hyperlink"/>
            <w:sz w:val="20"/>
            <w:szCs w:val="20"/>
          </w:rPr>
          <w:t>rchives/edgar/data/34088/000119312517122538/d182248ddef14a.htm#toc182248_19</w:t>
        </w:r>
      </w:hyperlink>
      <w:r w:rsidR="000A1ABE">
        <w:rPr>
          <w:sz w:val="20"/>
          <w:szCs w:val="20"/>
        </w:rPr>
        <w:t xml:space="preserve"> </w:t>
      </w:r>
    </w:p>
    <w:sectPr w:rsidR="000A1ABE" w:rsidRPr="00937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3pt;height:11.3pt" o:bullet="t">
        <v:imagedata r:id="rId1" o:title="msoA80C"/>
      </v:shape>
    </w:pict>
  </w:numPicBullet>
  <w:abstractNum w:abstractNumId="0">
    <w:nsid w:val="20EB0F0C"/>
    <w:multiLevelType w:val="hybridMultilevel"/>
    <w:tmpl w:val="BE52C3A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E4139D"/>
    <w:multiLevelType w:val="hybridMultilevel"/>
    <w:tmpl w:val="F1944E1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E21BA2"/>
    <w:multiLevelType w:val="hybridMultilevel"/>
    <w:tmpl w:val="C53C1E0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281"/>
    <w:rsid w:val="00081281"/>
    <w:rsid w:val="000A1ABE"/>
    <w:rsid w:val="00180828"/>
    <w:rsid w:val="001D5566"/>
    <w:rsid w:val="00356083"/>
    <w:rsid w:val="003B7569"/>
    <w:rsid w:val="003D5D4E"/>
    <w:rsid w:val="00412795"/>
    <w:rsid w:val="005D261F"/>
    <w:rsid w:val="006426C2"/>
    <w:rsid w:val="007E3195"/>
    <w:rsid w:val="00906E1F"/>
    <w:rsid w:val="0093766E"/>
    <w:rsid w:val="00986301"/>
    <w:rsid w:val="00A6362C"/>
    <w:rsid w:val="00AE5AE3"/>
    <w:rsid w:val="00C3149F"/>
    <w:rsid w:val="00CB3160"/>
    <w:rsid w:val="00CD4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3160"/>
    <w:rPr>
      <w:color w:val="0000FF" w:themeColor="hyperlink"/>
      <w:u w:val="single"/>
    </w:rPr>
  </w:style>
  <w:style w:type="paragraph" w:styleId="ListParagraph">
    <w:name w:val="List Paragraph"/>
    <w:basedOn w:val="Normal"/>
    <w:uiPriority w:val="34"/>
    <w:qFormat/>
    <w:rsid w:val="00CB3160"/>
    <w:pPr>
      <w:ind w:left="720"/>
      <w:contextualSpacing/>
    </w:pPr>
  </w:style>
  <w:style w:type="character" w:styleId="FollowedHyperlink">
    <w:name w:val="FollowedHyperlink"/>
    <w:basedOn w:val="DefaultParagraphFont"/>
    <w:uiPriority w:val="99"/>
    <w:semiHidden/>
    <w:unhideWhenUsed/>
    <w:rsid w:val="00CD42D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3160"/>
    <w:rPr>
      <w:color w:val="0000FF" w:themeColor="hyperlink"/>
      <w:u w:val="single"/>
    </w:rPr>
  </w:style>
  <w:style w:type="paragraph" w:styleId="ListParagraph">
    <w:name w:val="List Paragraph"/>
    <w:basedOn w:val="Normal"/>
    <w:uiPriority w:val="34"/>
    <w:qFormat/>
    <w:rsid w:val="00CB3160"/>
    <w:pPr>
      <w:ind w:left="720"/>
      <w:contextualSpacing/>
    </w:pPr>
  </w:style>
  <w:style w:type="character" w:styleId="FollowedHyperlink">
    <w:name w:val="FollowedHyperlink"/>
    <w:basedOn w:val="DefaultParagraphFont"/>
    <w:uiPriority w:val="99"/>
    <w:semiHidden/>
    <w:unhideWhenUsed/>
    <w:rsid w:val="00CD42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667610">
      <w:bodyDiv w:val="1"/>
      <w:marLeft w:val="0"/>
      <w:marRight w:val="0"/>
      <w:marTop w:val="0"/>
      <w:marBottom w:val="0"/>
      <w:divBdr>
        <w:top w:val="none" w:sz="0" w:space="0" w:color="auto"/>
        <w:left w:val="none" w:sz="0" w:space="0" w:color="auto"/>
        <w:bottom w:val="none" w:sz="0" w:space="0" w:color="auto"/>
        <w:right w:val="none" w:sz="0" w:space="0" w:color="auto"/>
      </w:divBdr>
    </w:div>
    <w:div w:id="945116972">
      <w:bodyDiv w:val="1"/>
      <w:marLeft w:val="0"/>
      <w:marRight w:val="0"/>
      <w:marTop w:val="0"/>
      <w:marBottom w:val="0"/>
      <w:divBdr>
        <w:top w:val="none" w:sz="0" w:space="0" w:color="auto"/>
        <w:left w:val="none" w:sz="0" w:space="0" w:color="auto"/>
        <w:bottom w:val="none" w:sz="0" w:space="0" w:color="auto"/>
        <w:right w:val="none" w:sz="0" w:space="0" w:color="auto"/>
      </w:divBdr>
    </w:div>
    <w:div w:id="959602709">
      <w:bodyDiv w:val="1"/>
      <w:marLeft w:val="0"/>
      <w:marRight w:val="0"/>
      <w:marTop w:val="0"/>
      <w:marBottom w:val="0"/>
      <w:divBdr>
        <w:top w:val="none" w:sz="0" w:space="0" w:color="auto"/>
        <w:left w:val="none" w:sz="0" w:space="0" w:color="auto"/>
        <w:bottom w:val="none" w:sz="0" w:space="0" w:color="auto"/>
        <w:right w:val="none" w:sz="0" w:space="0" w:color="auto"/>
      </w:divBdr>
    </w:div>
    <w:div w:id="1035931611">
      <w:bodyDiv w:val="1"/>
      <w:marLeft w:val="0"/>
      <w:marRight w:val="0"/>
      <w:marTop w:val="0"/>
      <w:marBottom w:val="0"/>
      <w:divBdr>
        <w:top w:val="none" w:sz="0" w:space="0" w:color="auto"/>
        <w:left w:val="none" w:sz="0" w:space="0" w:color="auto"/>
        <w:bottom w:val="none" w:sz="0" w:space="0" w:color="auto"/>
        <w:right w:val="none" w:sz="0" w:space="0" w:color="auto"/>
      </w:divBdr>
    </w:div>
    <w:div w:id="1134253237">
      <w:bodyDiv w:val="1"/>
      <w:marLeft w:val="0"/>
      <w:marRight w:val="0"/>
      <w:marTop w:val="0"/>
      <w:marBottom w:val="0"/>
      <w:divBdr>
        <w:top w:val="none" w:sz="0" w:space="0" w:color="auto"/>
        <w:left w:val="none" w:sz="0" w:space="0" w:color="auto"/>
        <w:bottom w:val="none" w:sz="0" w:space="0" w:color="auto"/>
        <w:right w:val="none" w:sz="0" w:space="0" w:color="auto"/>
      </w:divBdr>
    </w:div>
    <w:div w:id="1211267934">
      <w:bodyDiv w:val="1"/>
      <w:marLeft w:val="0"/>
      <w:marRight w:val="0"/>
      <w:marTop w:val="0"/>
      <w:marBottom w:val="0"/>
      <w:divBdr>
        <w:top w:val="none" w:sz="0" w:space="0" w:color="auto"/>
        <w:left w:val="none" w:sz="0" w:space="0" w:color="auto"/>
        <w:bottom w:val="none" w:sz="0" w:space="0" w:color="auto"/>
        <w:right w:val="none" w:sz="0" w:space="0" w:color="auto"/>
      </w:divBdr>
      <w:divsChild>
        <w:div w:id="288316731">
          <w:marLeft w:val="0"/>
          <w:marRight w:val="0"/>
          <w:marTop w:val="0"/>
          <w:marBottom w:val="0"/>
          <w:divBdr>
            <w:top w:val="none" w:sz="0" w:space="0" w:color="auto"/>
            <w:left w:val="none" w:sz="0" w:space="0" w:color="auto"/>
            <w:bottom w:val="none" w:sz="0" w:space="0" w:color="auto"/>
            <w:right w:val="none" w:sz="0" w:space="0" w:color="auto"/>
          </w:divBdr>
          <w:divsChild>
            <w:div w:id="253630499">
              <w:marLeft w:val="0"/>
              <w:marRight w:val="0"/>
              <w:marTop w:val="0"/>
              <w:marBottom w:val="0"/>
              <w:divBdr>
                <w:top w:val="none" w:sz="0" w:space="0" w:color="auto"/>
                <w:left w:val="none" w:sz="0" w:space="0" w:color="auto"/>
                <w:bottom w:val="none" w:sz="0" w:space="0" w:color="auto"/>
                <w:right w:val="none" w:sz="0" w:space="0" w:color="auto"/>
              </w:divBdr>
              <w:divsChild>
                <w:div w:id="2237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994487">
      <w:bodyDiv w:val="1"/>
      <w:marLeft w:val="0"/>
      <w:marRight w:val="0"/>
      <w:marTop w:val="0"/>
      <w:marBottom w:val="0"/>
      <w:divBdr>
        <w:top w:val="none" w:sz="0" w:space="0" w:color="auto"/>
        <w:left w:val="none" w:sz="0" w:space="0" w:color="auto"/>
        <w:bottom w:val="none" w:sz="0" w:space="0" w:color="auto"/>
        <w:right w:val="none" w:sz="0" w:space="0" w:color="auto"/>
      </w:divBdr>
    </w:div>
    <w:div w:id="1641228996">
      <w:bodyDiv w:val="1"/>
      <w:marLeft w:val="0"/>
      <w:marRight w:val="0"/>
      <w:marTop w:val="0"/>
      <w:marBottom w:val="0"/>
      <w:divBdr>
        <w:top w:val="none" w:sz="0" w:space="0" w:color="auto"/>
        <w:left w:val="none" w:sz="0" w:space="0" w:color="auto"/>
        <w:bottom w:val="none" w:sz="0" w:space="0" w:color="auto"/>
        <w:right w:val="none" w:sz="0" w:space="0" w:color="auto"/>
      </w:divBdr>
    </w:div>
    <w:div w:id="1676959584">
      <w:bodyDiv w:val="1"/>
      <w:marLeft w:val="0"/>
      <w:marRight w:val="0"/>
      <w:marTop w:val="0"/>
      <w:marBottom w:val="0"/>
      <w:divBdr>
        <w:top w:val="none" w:sz="0" w:space="0" w:color="auto"/>
        <w:left w:val="none" w:sz="0" w:space="0" w:color="auto"/>
        <w:bottom w:val="none" w:sz="0" w:space="0" w:color="auto"/>
        <w:right w:val="none" w:sz="0" w:space="0" w:color="auto"/>
      </w:divBdr>
    </w:div>
    <w:div w:id="199780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yousow.org/about-us/choice-act-step-by-step-action-guide/" TargetMode="External"/><Relationship Id="rId13" Type="http://schemas.openxmlformats.org/officeDocument/2006/relationships/hyperlink" Target="http://wshu.org/post/gop-plan-may-signal-end-socially-responsible-investin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goo.gl/forms/qORu1nyKDIC2FbHB2" TargetMode="External"/><Relationship Id="rId12" Type="http://schemas.openxmlformats.org/officeDocument/2006/relationships/hyperlink" Target="http://www.sfgate.com/business/article/Looking-to-propose-a-shareholder-vote-It-may-get-11200539.php" TargetMode="External"/><Relationship Id="rId17" Type="http://schemas.openxmlformats.org/officeDocument/2006/relationships/hyperlink" Target="https://www.sec.gov/Archives/edgar/data/34088/000119312517122538/d182248ddef14a.htm" TargetMode="External"/><Relationship Id="rId2" Type="http://schemas.openxmlformats.org/officeDocument/2006/relationships/styles" Target="styles.xml"/><Relationship Id="rId16" Type="http://schemas.openxmlformats.org/officeDocument/2006/relationships/hyperlink" Target="https://www.chevron.com/corporate-responsibility/our-approach/board-of-directors-governance-and-ethics" TargetMode="External"/><Relationship Id="rId1" Type="http://schemas.openxmlformats.org/officeDocument/2006/relationships/numbering" Target="numbering.xml"/><Relationship Id="rId6" Type="http://schemas.openxmlformats.org/officeDocument/2006/relationships/hyperlink" Target="file:///\\ICCRFS\sys\USERS\Mary\SEC%20Rule%2014a8\iccr.us7.list-manage.com\track\click%3fu=c77e1a70c4bc563a6cb1d9426&amp;id=a595db7b43&amp;e=1c4369dd4a" TargetMode="External"/><Relationship Id="rId11" Type="http://schemas.openxmlformats.org/officeDocument/2006/relationships/hyperlink" Target="http://www.cii.org/files/issues_and_advocacy/correspondence/2017/05-17-17%20FinChoice%20Letter%20FINAL.pdf" TargetMode="External"/><Relationship Id="rId5" Type="http://schemas.openxmlformats.org/officeDocument/2006/relationships/webSettings" Target="webSettings.xml"/><Relationship Id="rId15" Type="http://schemas.openxmlformats.org/officeDocument/2006/relationships/hyperlink" Target="https://www.wsj.com/articles/investor-group-pension-funds-oppose-financial-choice-act-1495060509" TargetMode="External"/><Relationship Id="rId10" Type="http://schemas.openxmlformats.org/officeDocument/2006/relationships/hyperlink" Target="https://members.iccr.org/document/afl-cio-letter-opposing-financial-choice-act-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ndivisibleguide.com/" TargetMode="External"/><Relationship Id="rId14" Type="http://schemas.openxmlformats.org/officeDocument/2006/relationships/hyperlink" Target="http://www.investmentnews.com/article/20170504/FREE/170509954/house-committee-approves-dodd-frank-replacement-bill-that-includ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Vaccari</dc:creator>
  <cp:lastModifiedBy>Mary Vaccari</cp:lastModifiedBy>
  <cp:revision>7</cp:revision>
  <dcterms:created xsi:type="dcterms:W3CDTF">2017-05-05T16:45:00Z</dcterms:created>
  <dcterms:modified xsi:type="dcterms:W3CDTF">2017-06-07T16:47:00Z</dcterms:modified>
</cp:coreProperties>
</file>